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30" w:before="0" w:after="30"/>
        <w:jc w:val="center"/>
        <w:rPr/>
      </w:pPr>
      <w:r>
        <w:rPr>
          <w:rFonts w:eastAsia="Calibri" w:cs="Calibri"/>
          <w:b/>
          <w:bCs/>
          <w:sz w:val="17"/>
          <w:szCs w:val="17"/>
        </w:rPr>
        <w:t>Télécom SudParis, laboratoire SAMOVAR, Institut Polytechnique de Paris</w:t>
      </w:r>
    </w:p>
    <w:p>
      <w:pPr>
        <w:pStyle w:val="Normal"/>
        <w:spacing w:lineRule="exact" w:line="230" w:before="0" w:after="110"/>
        <w:jc w:val="center"/>
        <w:rPr/>
      </w:pPr>
      <w:r>
        <w:rPr>
          <w:rFonts w:eastAsia="Calibri" w:cs="Calibri"/>
          <w:sz w:val="17"/>
          <w:szCs w:val="17"/>
        </w:rPr>
        <w:t>Master 2 or final-year engineering research internship, 5 to 6 months</w:t>
      </w:r>
    </w:p>
    <w:p>
      <w:pPr>
        <w:pStyle w:val="Normal"/>
        <w:spacing w:lineRule="exact" w:line="250" w:before="0" w:after="40"/>
        <w:jc w:val="center"/>
        <w:rPr/>
      </w:pPr>
      <w:r>
        <w:rPr>
          <w:rFonts w:eastAsia="Calibri" w:cs="Calibri"/>
          <w:b/>
          <w:bCs/>
          <w:color w:val="1F3864"/>
          <w:sz w:val="26"/>
          <w:szCs w:val="26"/>
        </w:rPr>
        <w:t>Deploying a Council of Specialised Models for AI-Assisted Peer Review</w:t>
      </w:r>
    </w:p>
    <w:p>
      <w:pPr>
        <w:pStyle w:val="Normal"/>
        <w:spacing w:lineRule="exact" w:line="230" w:before="0" w:after="110"/>
        <w:jc w:val="center"/>
        <w:rPr/>
      </w:pPr>
      <w:r>
        <w:rPr>
          <w:rFonts w:eastAsia="Calibri" w:cs="Calibri"/>
          <w:i/>
          <w:iCs/>
          <w:sz w:val="18"/>
          <w:szCs w:val="18"/>
        </w:rPr>
        <w:t>Architecture, aggregation and robustness under a fixed hardware budget</w:t>
        <w:br/>
        <w:t>Supervisor: Rosario Patanè, Associate Professor, SAMOVAR, Télécom SudParis</w:t>
      </w:r>
    </w:p>
    <w:p>
      <w:pPr>
        <w:pStyle w:val="Normal"/>
        <w:pBdr>
          <w:bottom w:val="single" w:sz="6" w:space="0" w:color="1F3864"/>
        </w:pBdr>
        <w:spacing w:before="130" w:after="60"/>
        <w:rPr/>
      </w:pPr>
      <w:r>
        <w:rPr>
          <w:rFonts w:eastAsia="Calibri" w:cs="Calibri"/>
          <w:b/>
          <w:bCs/>
          <w:color w:val="1F3864"/>
          <w:sz w:val="20"/>
          <w:szCs w:val="20"/>
        </w:rPr>
        <w:t>The problem</w:t>
      </w:r>
    </w:p>
    <w:p>
      <w:pPr>
        <w:pStyle w:val="Normal"/>
        <w:spacing w:lineRule="exact" w:line="230" w:before="0" w:after="70"/>
        <w:rPr/>
      </w:pPr>
      <w:r>
        <w:rPr>
          <w:rFonts w:eastAsia="Calibri" w:cs="Calibri"/>
          <w:sz w:val="19"/>
          <w:szCs w:val="19"/>
        </w:rPr>
        <w:t>Submission volumes at the major venues have outgrown the pool of available reviewers, and LLM-based review systems are already being built and tested. MARG distributes the task across leader, worker and expert agents. AgentReview simulates a full conference process, from reviewer assessment to author discussion and meta-review. ICLR 2025 ran a large randomised study in which an LLM agent offered optional feedback to human reviewers. The question is no longer whether these systems will be used, but whether they can be trusted.</w:t>
      </w:r>
    </w:p>
    <w:p>
      <w:pPr>
        <w:pStyle w:val="Normal"/>
        <w:spacing w:lineRule="exact" w:line="230" w:before="0" w:after="70"/>
        <w:rPr/>
      </w:pPr>
      <w:r>
        <w:rPr>
          <w:rFonts w:eastAsia="Calibri" w:cs="Calibri"/>
          <w:sz w:val="19"/>
          <w:szCs w:val="19"/>
        </w:rPr>
        <w:t>Two results say they cannot be trusted yet. LLM reviews are heavily biased towards acceptance: a systematic evaluation of 1,000 ICLR papers reports acceptance recommendations above 95% for many models, which makes the output nearly uninformative. And the pipeline is attackable: in July 2025, eighteen arXiv preprints were found to contain instructions hidden in white text or microscopic fonts, invisible to a human reader but read by any LLM in the loop, with very simple injections driving acceptance recommendations up to 100%.</w:t>
      </w:r>
    </w:p>
    <w:p>
      <w:pPr>
        <w:pStyle w:val="Normal"/>
        <w:spacing w:lineRule="exact" w:line="230" w:before="0" w:after="70"/>
        <w:rPr/>
      </w:pPr>
      <w:r>
        <w:rPr>
          <w:rFonts w:eastAsia="Calibri" w:cs="Calibri"/>
          <w:sz w:val="19"/>
          <w:szCs w:val="19"/>
        </w:rPr>
        <w:t>Behind both failures lies the same structural weakness. Existing work concentrates on making a single agent write a review, and treats the combination of judgements as a prompt rather than as a problem. A judgement produced by one model, prompted into several personas, is one point of view wearing several hats: its errors are correlated and its attack surface is single. What is missing is a principled way to combine heterogeneous, partially competent and possibly manipulated verdicts into a decision that can be defended.</w:t>
      </w:r>
    </w:p>
    <w:p>
      <w:pPr>
        <w:pStyle w:val="Normal"/>
        <w:pBdr>
          <w:bottom w:val="single" w:sz="6" w:space="0" w:color="1F3864"/>
        </w:pBdr>
        <w:spacing w:before="130" w:after="60"/>
        <w:rPr/>
      </w:pPr>
      <w:r>
        <w:rPr>
          <w:rFonts w:eastAsia="Calibri" w:cs="Calibri"/>
          <w:b/>
          <w:bCs/>
          <w:color w:val="1F3864"/>
          <w:sz w:val="20"/>
          <w:szCs w:val="20"/>
        </w:rPr>
        <w:t>What the intern will build</w:t>
      </w:r>
    </w:p>
    <w:p>
      <w:pPr>
        <w:pStyle w:val="Normal"/>
        <w:spacing w:lineRule="exact" w:line="230" w:before="0" w:after="70"/>
        <w:rPr/>
      </w:pPr>
      <w:r>
        <w:rPr>
          <w:rFonts w:eastAsia="Calibri" w:cs="Calibri"/>
          <w:sz w:val="19"/>
          <w:szCs w:val="19"/>
        </w:rPr>
        <w:t>A working reviewer deployed as a council of genuinely different models, each responsible for what it is good at. A small instruction-tuned model parses the manuscript, routes it and manages the token budget. An integrity guard sanitises the PDF and isolates injected instructions before any content reaches a reviewer. A reasoning-optimised model checks experimental design and the alignment between claims and evidence. A retrieval-augmented model queries OpenAlex or Semantic Scholar to assess novelty and citation accuracy. A vision-language model reads figures and tables and flags mismatches with the text. A code-specialised model inspects released artefacts and reproducibility. An area-chair agent runs the deliberation, arbitrates disagreement and issues a calibrated meta-review.</w:t>
      </w:r>
    </w:p>
    <w:p>
      <w:pPr>
        <w:pStyle w:val="Normal"/>
        <w:spacing w:lineRule="exact" w:line="230" w:before="0" w:after="70"/>
        <w:rPr/>
      </w:pPr>
      <w:r>
        <w:rPr>
          <w:rFonts w:eastAsia="Calibri" w:cs="Calibri"/>
          <w:sz w:val="19"/>
          <w:szCs w:val="19"/>
        </w:rPr>
        <w:t>The aggregation layer is where the scientific contribution lies. The specialists can be treated as players of a cooperative game whose value is the quality of the meta-review, so that each one's weight reflects its marginal contribution. The system is designed to assist reviewers and area chairs, never to replace them: the decision stays with a human, every verdict carries a confidence level, and abstention is an available output.</w:t>
      </w:r>
    </w:p>
    <w:p>
      <w:pPr>
        <w:pStyle w:val="Normal"/>
        <w:pBdr>
          <w:bottom w:val="single" w:sz="6" w:space="0" w:color="1F3864"/>
        </w:pBdr>
        <w:spacing w:before="130" w:after="60"/>
        <w:rPr/>
      </w:pPr>
      <w:r>
        <w:rPr>
          <w:rFonts w:eastAsia="Calibri" w:cs="Calibri"/>
          <w:b/>
          <w:bCs/>
          <w:color w:val="1F3864"/>
          <w:sz w:val="20"/>
          <w:szCs w:val="20"/>
        </w:rPr>
        <w:t>The constraint that makes it hard</w:t>
      </w:r>
    </w:p>
    <w:p>
      <w:pPr>
        <w:pStyle w:val="Normal"/>
        <w:spacing w:lineRule="exact" w:line="230" w:before="0" w:after="70"/>
        <w:rPr/>
      </w:pPr>
      <w:r>
        <w:rPr>
          <w:rFonts w:eastAsia="Calibri" w:cs="Calibri"/>
          <w:sz w:val="19"/>
          <w:szCs w:val="19"/>
        </w:rPr>
        <w:t>Available compute is part of the subject. Seven specialists cannot be co-resident on the laboratory GPU allocation, so the trade-off has to be resolved rather than assumed away: hot-swapped LoRA adapters over a shared base model, small quantised checkpoints per role, or distillation of a frontier model into 3 to 8 billion parameter specialists. Each choice costs differently in memory, latency and review quality. Quality per GPU-hour is therefore a first-class evaluation metric, and the marginal contribution of each agent becomes a principled rule for deciding which one to drop when memory runs out.</w:t>
      </w:r>
    </w:p>
    <w:p>
      <w:pPr>
        <w:pStyle w:val="Normal"/>
        <w:pBdr>
          <w:bottom w:val="single" w:sz="6" w:space="0" w:color="1F3864"/>
        </w:pBdr>
        <w:spacing w:before="130" w:after="60"/>
        <w:rPr/>
      </w:pPr>
      <w:r>
        <w:rPr>
          <w:rFonts w:eastAsia="Calibri" w:cs="Calibri"/>
          <w:b/>
          <w:bCs/>
          <w:color w:val="1F3864"/>
          <w:sz w:val="20"/>
          <w:szCs w:val="20"/>
        </w:rPr>
        <w:t>Profile and practical information</w:t>
      </w:r>
    </w:p>
    <w:p>
      <w:pPr>
        <w:pStyle w:val="Normal"/>
        <w:spacing w:lineRule="exact" w:line="230" w:before="0" w:after="70"/>
        <w:rPr/>
      </w:pPr>
      <w:r>
        <w:rPr>
          <w:rFonts w:eastAsia="Calibri" w:cs="Calibri"/>
          <w:sz w:val="19"/>
          <w:szCs w:val="19"/>
        </w:rPr>
        <w:t>Master 2 or final-year engineering student in computer science, artificial intelligence or applied mathematics. Solid Python, hands-on experience with LLM APIs and ideally with local model serving, quantisation or parameter-efficient fine-tuning. Sound statistical grounding and scientific English. An interest in cooperative game theory or voting mechanisms is welcome but not a prerequisite.</w:t>
      </w:r>
    </w:p>
    <w:p>
      <w:pPr>
        <w:pStyle w:val="Normal"/>
        <w:spacing w:lineRule="exact" w:line="230" w:before="0" w:after="50"/>
        <w:rPr/>
      </w:pPr>
      <w:r>
        <w:rPr>
          <w:rFonts w:eastAsia="Calibri" w:cs="Calibri"/>
          <w:b/>
          <w:bCs/>
          <w:sz w:val="19"/>
          <w:szCs w:val="19"/>
        </w:rPr>
        <w:t xml:space="preserve">Location: </w:t>
      </w:r>
      <w:r>
        <w:rPr>
          <w:rFonts w:eastAsia="Calibri" w:cs="Calibri"/>
          <w:b/>
          <w:bCs/>
          <w:sz w:val="19"/>
          <w:szCs w:val="19"/>
        </w:rPr>
        <w:t>EVRY/</w:t>
      </w:r>
      <w:r>
        <w:rPr>
          <w:rFonts w:eastAsia="Calibri" w:cs="Calibri"/>
          <w:sz w:val="19"/>
          <w:szCs w:val="19"/>
        </w:rPr>
        <w:t xml:space="preserve">Palaiseau campus, Télécom SudParis. </w:t>
      </w:r>
      <w:r>
        <w:rPr>
          <w:rFonts w:eastAsia="Calibri" w:cs="Calibri"/>
          <w:b/>
          <w:bCs/>
          <w:sz w:val="19"/>
          <w:szCs w:val="19"/>
        </w:rPr>
        <w:t>Start: 2027</w:t>
      </w:r>
      <w:r>
        <w:rPr>
          <w:rFonts w:eastAsia="Calibri" w:cs="Calibri"/>
          <w:sz w:val="19"/>
          <w:szCs w:val="19"/>
        </w:rPr>
        <w:t xml:space="preserve">. </w:t>
      </w:r>
      <w:r>
        <w:rPr>
          <w:rFonts w:eastAsia="Calibri" w:cs="Calibri"/>
          <w:b/>
          <w:bCs/>
          <w:sz w:val="19"/>
          <w:szCs w:val="19"/>
        </w:rPr>
        <w:t xml:space="preserve">Allowance: </w:t>
      </w:r>
      <w:r>
        <w:rPr>
          <w:rFonts w:eastAsia="Calibri" w:cs="Calibri"/>
          <w:sz w:val="19"/>
          <w:szCs w:val="19"/>
        </w:rPr>
        <w:t xml:space="preserve">standard gratification. </w:t>
      </w:r>
      <w:r>
        <w:rPr>
          <w:rFonts w:eastAsia="Calibri" w:cs="Calibri"/>
          <w:b/>
          <w:bCs/>
          <w:sz w:val="19"/>
          <w:szCs w:val="19"/>
        </w:rPr>
        <w:t xml:space="preserve">Applications: </w:t>
      </w:r>
      <w:r>
        <w:rPr>
          <w:rFonts w:eastAsia="Calibri" w:cs="Calibri"/>
          <w:sz w:val="19"/>
          <w:szCs w:val="19"/>
        </w:rPr>
        <w:t xml:space="preserve">CV, transcripts and a short motivation text to rosario.patane@telecom-sudparis.eu. </w:t>
      </w:r>
    </w:p>
    <w:p>
      <w:pPr>
        <w:pStyle w:val="Normal"/>
        <w:pBdr>
          <w:bottom w:val="single" w:sz="6" w:space="0" w:color="1F3864"/>
        </w:pBdr>
        <w:spacing w:before="130" w:after="60"/>
        <w:rPr/>
      </w:pPr>
      <w:r>
        <w:rPr>
          <w:rFonts w:eastAsia="Calibri" w:cs="Calibri"/>
          <w:b/>
          <w:bCs/>
          <w:color w:val="1F3864"/>
          <w:sz w:val="20"/>
          <w:szCs w:val="20"/>
        </w:rPr>
        <w:t>Selected references</w:t>
      </w:r>
    </w:p>
    <w:p>
      <w:pPr>
        <w:pStyle w:val="Normal"/>
        <w:spacing w:lineRule="exact" w:line="210" w:before="0" w:after="10"/>
        <w:ind w:hanging="220" w:left="220"/>
        <w:rPr/>
      </w:pPr>
      <w:r>
        <w:rPr>
          <w:rFonts w:eastAsia="Calibri" w:cs="Calibri"/>
          <w:sz w:val="14"/>
          <w:szCs w:val="14"/>
        </w:rPr>
        <w:t>[1] D'Arcy, M. et al. (2024). MARG: Multi-Agent Review Generation for Scientific Papers. arXiv:2401.04259.</w:t>
      </w:r>
    </w:p>
    <w:p>
      <w:pPr>
        <w:pStyle w:val="Normal"/>
        <w:spacing w:lineRule="exact" w:line="210" w:before="0" w:after="10"/>
        <w:ind w:hanging="220" w:left="220"/>
        <w:rPr/>
      </w:pPr>
      <w:r>
        <w:rPr>
          <w:rFonts w:eastAsia="Calibri" w:cs="Calibri"/>
          <w:sz w:val="14"/>
          <w:szCs w:val="14"/>
        </w:rPr>
        <w:t>[2] Jin, Y. et al. (2024). AgentReview: Exploring Peer Review Dynamics with LLM Agents. EMNLP 2024.</w:t>
      </w:r>
    </w:p>
    <w:p>
      <w:pPr>
        <w:pStyle w:val="Normal"/>
        <w:spacing w:lineRule="exact" w:line="210" w:before="0" w:after="10"/>
        <w:ind w:hanging="220" w:left="220"/>
        <w:rPr/>
      </w:pPr>
      <w:r>
        <w:rPr>
          <w:rFonts w:eastAsia="Calibri" w:cs="Calibri"/>
          <w:sz w:val="14"/>
          <w:szCs w:val="14"/>
        </w:rPr>
        <w:t>[3] Gao, X. et al. (2025). ReviewAgents: Bridging the Gap Between Human and AI-Generated Paper Reviews. arXiv:2503.08506.</w:t>
      </w:r>
    </w:p>
    <w:p>
      <w:pPr>
        <w:pStyle w:val="Normal"/>
        <w:spacing w:lineRule="exact" w:line="210" w:before="0" w:after="10"/>
        <w:ind w:hanging="220" w:left="220"/>
        <w:rPr/>
      </w:pPr>
      <w:r>
        <w:rPr>
          <w:rFonts w:eastAsia="Calibri" w:cs="Calibri"/>
          <w:sz w:val="14"/>
          <w:szCs w:val="14"/>
        </w:rPr>
        <w:t>[4] Zhu, J. et al. (2025). Large Language Models for Automated Scholarly Paper Review: A Survey. arXiv:2501.10326.</w:t>
      </w:r>
    </w:p>
    <w:p>
      <w:pPr>
        <w:pStyle w:val="Normal"/>
        <w:spacing w:lineRule="exact" w:line="210" w:before="0" w:after="10"/>
        <w:ind w:hanging="220" w:left="220"/>
        <w:rPr/>
      </w:pPr>
      <w:r>
        <w:rPr>
          <w:rFonts w:eastAsia="Calibri" w:cs="Calibri"/>
          <w:sz w:val="14"/>
          <w:szCs w:val="14"/>
        </w:rPr>
        <w:t>[5] Dycke, N., Kuznetsov, I., Gurevych, I. (2023). NLPeer: A Unified Resource for the Computational Study of Peer Review. ACL 2023.</w:t>
      </w:r>
    </w:p>
    <w:p>
      <w:pPr>
        <w:pStyle w:val="Normal"/>
        <w:spacing w:lineRule="exact" w:line="210" w:before="0" w:after="10"/>
        <w:ind w:hanging="220" w:left="220"/>
        <w:rPr/>
      </w:pPr>
      <w:r>
        <w:rPr>
          <w:rFonts w:eastAsia="Calibri" w:cs="Calibri"/>
          <w:sz w:val="14"/>
          <w:szCs w:val="14"/>
        </w:rPr>
        <w:t>[6] Lin, Z. (2025). Hidden Prompts in Manuscripts Exploit AI-Assisted Peer Review. Communications of the ACM / arXiv:2507.06185.</w:t>
      </w:r>
    </w:p>
    <w:p>
      <w:pPr>
        <w:pStyle w:val="Normal"/>
        <w:spacing w:lineRule="exact" w:line="210" w:before="0" w:after="10"/>
        <w:ind w:hanging="220" w:left="220"/>
        <w:rPr/>
      </w:pPr>
      <w:r>
        <w:rPr>
          <w:rFonts w:eastAsia="Calibri" w:cs="Calibri"/>
          <w:sz w:val="14"/>
          <w:szCs w:val="14"/>
        </w:rPr>
        <w:t>[7] Keuper, J. (2025). Prompt Injection Attacks on LLM Generated Reviews of Scientific Publications. arXiv:2509.10248.</w:t>
      </w:r>
    </w:p>
    <w:p>
      <w:pPr>
        <w:pStyle w:val="Normal"/>
        <w:spacing w:lineRule="exact" w:line="210" w:before="0" w:after="10"/>
        <w:ind w:hanging="220" w:left="220"/>
        <w:rPr/>
      </w:pPr>
      <w:r>
        <w:rPr>
          <w:rFonts w:eastAsia="Calibri" w:cs="Calibri"/>
          <w:sz w:val="14"/>
          <w:szCs w:val="14"/>
        </w:rPr>
        <w:t>[8] Shapley, L. S. (1953). A Value for n-Person Games. Contributions to the Theory of Games II.</w:t>
      </w:r>
    </w:p>
    <w:sectPr>
      <w:type w:val="nextPage"/>
      <w:pgSz w:w="11906" w:h="16838"/>
      <w:pgMar w:left="900" w:right="900" w:gutter="0" w:header="0" w:top="760" w:footer="0" w:bottom="620"/>
      <w:pgNumType w:fmt="decimal"/>
      <w:formProt w:val="false"/>
      <w:textDirection w:val="lrTb"/>
      <w:docGrid w:type="default" w:linePitch="360" w:charSpace="983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19"/>
        <w:szCs w:val="19"/>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Calibri" w:cs="Calibri"/>
      <w:color w:val="auto"/>
      <w:kern w:val="0"/>
      <w:sz w:val="19"/>
      <w:szCs w:val="19"/>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left"/>
    </w:pPr>
    <w:rPr>
      <w:rFonts w:ascii="Calibri" w:hAnsi="Calibri" w:eastAsia="Calibri" w:cs="Calibri"/>
      <w:b/>
      <w:bCs/>
      <w:color w:val="auto"/>
      <w:kern w:val="0"/>
      <w:sz w:val="19"/>
      <w:szCs w:val="19"/>
      <w:lang w:val="en-US" w:eastAsia="zh-CN" w:bidi="hi-IN"/>
    </w:rPr>
  </w:style>
  <w:style w:type="paragraph" w:styleId="ListParagraph">
    <w:name w:val="List Paragraph"/>
    <w:qFormat/>
    <w:pPr>
      <w:widowControl/>
      <w:suppressAutoHyphens w:val="true"/>
      <w:bidi w:val="0"/>
      <w:spacing w:before="0" w:after="0"/>
      <w:jc w:val="left"/>
    </w:pPr>
    <w:rPr>
      <w:rFonts w:ascii="Calibri" w:hAnsi="Calibri" w:eastAsia="Calibri" w:cs="Calibri"/>
      <w:color w:val="auto"/>
      <w:kern w:val="0"/>
      <w:sz w:val="19"/>
      <w:szCs w:val="19"/>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LibreOffice/24.2.7.2$Linux_X86_64 LibreOffice_project/420$Build-2</Application>
  <AppVersion>15.0000</AppVersion>
  <Pages>1</Pages>
  <Words>793</Words>
  <Characters>4623</Characters>
  <CharactersWithSpaces>5392</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2026-09-04T15:08:12Z</dcterms:created>
  <dc:creator>Un-named</dc:creator>
  <dc:description/>
  <dc:language>en-US</dc:language>
  <cp:lastModifiedBy/>
  <dcterms:modified xsi:type="dcterms:W3CDTF">2026-09-04T17:14:49Z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